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C" w:rsidRDefault="0006060C" w:rsidP="0006060C">
      <w:pPr>
        <w:jc w:val="center"/>
        <w:rPr>
          <w:rStyle w:val="style28"/>
          <w:i/>
        </w:rPr>
      </w:pPr>
      <w:r>
        <w:rPr>
          <w:rStyle w:val="style28"/>
          <w:i/>
        </w:rPr>
        <w:t>_______________________________________________________</w:t>
      </w:r>
    </w:p>
    <w:p w:rsidR="0006060C" w:rsidRPr="0006060C" w:rsidRDefault="0006060C" w:rsidP="0006060C">
      <w:pPr>
        <w:spacing w:after="240"/>
        <w:jc w:val="center"/>
        <w:rPr>
          <w:rStyle w:val="style28"/>
          <w:i/>
        </w:rPr>
      </w:pPr>
      <w:r w:rsidRPr="0006060C">
        <w:rPr>
          <w:rStyle w:val="style28"/>
          <w:i/>
        </w:rPr>
        <w:t>Course Title</w:t>
      </w:r>
    </w:p>
    <w:tbl>
      <w:tblPr>
        <w:tblStyle w:val="TableGrid"/>
        <w:tblW w:w="0" w:type="auto"/>
        <w:tblLook w:val="00BF"/>
      </w:tblPr>
      <w:tblGrid>
        <w:gridCol w:w="1915"/>
        <w:gridCol w:w="7661"/>
      </w:tblGrid>
      <w:tr w:rsidR="0006060C">
        <w:tc>
          <w:tcPr>
            <w:tcW w:w="9576" w:type="dxa"/>
            <w:gridSpan w:val="2"/>
          </w:tcPr>
          <w:p w:rsidR="0006060C" w:rsidRDefault="0006060C" w:rsidP="001E30B9">
            <w:pPr>
              <w:rPr>
                <w:rStyle w:val="style28"/>
              </w:rPr>
            </w:pPr>
            <w:r>
              <w:rPr>
                <w:rStyle w:val="style28"/>
              </w:rPr>
              <w:t>Unit:</w:t>
            </w:r>
          </w:p>
          <w:p w:rsidR="0006060C" w:rsidRDefault="0006060C" w:rsidP="001E30B9">
            <w:pPr>
              <w:rPr>
                <w:rStyle w:val="style28"/>
              </w:rPr>
            </w:pPr>
          </w:p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1050"/>
        </w:trPr>
        <w:tc>
          <w:tcPr>
            <w:tcW w:w="1915" w:type="dxa"/>
            <w:vMerge w:val="restart"/>
            <w:vAlign w:val="center"/>
          </w:tcPr>
          <w:p w:rsidR="0006060C" w:rsidRDefault="0006060C" w:rsidP="008A4BBA">
            <w:pPr>
              <w:spacing w:before="120"/>
              <w:rPr>
                <w:b/>
                <w:sz w:val="20"/>
              </w:rPr>
            </w:pPr>
            <w:r w:rsidRPr="00A46C3D">
              <w:rPr>
                <w:b/>
                <w:sz w:val="20"/>
              </w:rPr>
              <w:t>Enduring Understandings</w:t>
            </w:r>
          </w:p>
          <w:p w:rsidR="0006060C" w:rsidRDefault="0006060C" w:rsidP="008A4BBA">
            <w:pPr>
              <w:rPr>
                <w:rStyle w:val="style28"/>
              </w:rPr>
            </w:pPr>
            <w:r w:rsidRPr="00A46C3D">
              <w:rPr>
                <w:i/>
                <w:sz w:val="20"/>
              </w:rPr>
              <w:t>“Students will understand that…”</w:t>
            </w: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1050"/>
        </w:trPr>
        <w:tc>
          <w:tcPr>
            <w:tcW w:w="19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60C" w:rsidRPr="00A46C3D" w:rsidRDefault="0006060C" w:rsidP="008A4BBA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555"/>
        </w:trPr>
        <w:tc>
          <w:tcPr>
            <w:tcW w:w="1915" w:type="dxa"/>
            <w:vMerge w:val="restart"/>
            <w:vAlign w:val="center"/>
          </w:tcPr>
          <w:p w:rsidR="0006060C" w:rsidRDefault="0006060C" w:rsidP="008A4BBA">
            <w:pPr>
              <w:rPr>
                <w:b/>
                <w:sz w:val="20"/>
              </w:rPr>
            </w:pPr>
            <w:r w:rsidRPr="00A46C3D">
              <w:rPr>
                <w:b/>
                <w:sz w:val="20"/>
              </w:rPr>
              <w:t>Essential Questions</w:t>
            </w:r>
          </w:p>
          <w:p w:rsidR="0006060C" w:rsidRDefault="0006060C" w:rsidP="008A4BBA">
            <w:pPr>
              <w:rPr>
                <w:rStyle w:val="style28"/>
              </w:rPr>
            </w:pPr>
            <w:r w:rsidRPr="00A46C3D">
              <w:rPr>
                <w:i/>
                <w:sz w:val="20"/>
              </w:rPr>
              <w:t>“Students will explore…”</w:t>
            </w: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555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555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555"/>
        </w:trPr>
        <w:tc>
          <w:tcPr>
            <w:tcW w:w="19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  <w:tcBorders>
              <w:bottom w:val="single" w:sz="4" w:space="0" w:color="000000" w:themeColor="text1"/>
            </w:tcBorders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22"/>
        </w:trPr>
        <w:tc>
          <w:tcPr>
            <w:tcW w:w="1915" w:type="dxa"/>
            <w:vMerge w:val="restart"/>
            <w:vAlign w:val="center"/>
          </w:tcPr>
          <w:p w:rsidR="0006060C" w:rsidRPr="00A46C3D" w:rsidRDefault="0006060C" w:rsidP="008A4BBA">
            <w:pPr>
              <w:spacing w:before="120"/>
              <w:rPr>
                <w:b/>
                <w:sz w:val="20"/>
              </w:rPr>
            </w:pPr>
            <w:r w:rsidRPr="00A46C3D">
              <w:rPr>
                <w:b/>
                <w:sz w:val="20"/>
              </w:rPr>
              <w:t>Knowledge</w:t>
            </w:r>
            <w:r>
              <w:rPr>
                <w:b/>
                <w:sz w:val="20"/>
              </w:rPr>
              <w:t xml:space="preserve"> Expectations</w:t>
            </w:r>
          </w:p>
          <w:p w:rsidR="0006060C" w:rsidRDefault="0006060C" w:rsidP="008A4BBA">
            <w:pPr>
              <w:rPr>
                <w:rStyle w:val="style28"/>
              </w:rPr>
            </w:pPr>
            <w:r w:rsidRPr="00A46C3D">
              <w:rPr>
                <w:i/>
                <w:sz w:val="20"/>
              </w:rPr>
              <w:t>“Students will know…”</w:t>
            </w: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86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59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32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68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13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15"/>
        </w:trPr>
        <w:tc>
          <w:tcPr>
            <w:tcW w:w="1915" w:type="dxa"/>
            <w:vMerge w:val="restart"/>
            <w:vAlign w:val="center"/>
          </w:tcPr>
          <w:p w:rsidR="0006060C" w:rsidRPr="00A46C3D" w:rsidRDefault="0006060C" w:rsidP="008A4BBA">
            <w:pPr>
              <w:spacing w:before="120"/>
              <w:rPr>
                <w:b/>
                <w:sz w:val="20"/>
              </w:rPr>
            </w:pPr>
            <w:r w:rsidRPr="00A46C3D">
              <w:rPr>
                <w:b/>
                <w:sz w:val="20"/>
              </w:rPr>
              <w:t>Skill</w:t>
            </w:r>
            <w:r>
              <w:rPr>
                <w:b/>
                <w:sz w:val="20"/>
              </w:rPr>
              <w:t xml:space="preserve"> Expectation</w:t>
            </w:r>
            <w:r w:rsidRPr="00A46C3D">
              <w:rPr>
                <w:b/>
                <w:sz w:val="20"/>
              </w:rPr>
              <w:t>s</w:t>
            </w:r>
          </w:p>
          <w:p w:rsidR="0006060C" w:rsidRDefault="0006060C" w:rsidP="008A4BBA">
            <w:pPr>
              <w:rPr>
                <w:rStyle w:val="style28"/>
              </w:rPr>
            </w:pPr>
            <w:r w:rsidRPr="00A46C3D">
              <w:rPr>
                <w:i/>
                <w:sz w:val="20"/>
              </w:rPr>
              <w:t>“Students will be able to…”</w:t>
            </w: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15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86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32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15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415"/>
        </w:trPr>
        <w:tc>
          <w:tcPr>
            <w:tcW w:w="1915" w:type="dxa"/>
            <w:vMerge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 w:rsidTr="008A4BBA">
        <w:trPr>
          <w:trHeight w:val="386"/>
        </w:trPr>
        <w:tc>
          <w:tcPr>
            <w:tcW w:w="1915" w:type="dxa"/>
            <w:vMerge w:val="restart"/>
            <w:vAlign w:val="center"/>
          </w:tcPr>
          <w:p w:rsidR="0006060C" w:rsidRDefault="0006060C" w:rsidP="008A4BBA">
            <w:pPr>
              <w:rPr>
                <w:rStyle w:val="style28"/>
              </w:rPr>
            </w:pPr>
            <w:r w:rsidRPr="00A46C3D">
              <w:rPr>
                <w:b/>
                <w:sz w:val="20"/>
              </w:rPr>
              <w:t>Assessments</w:t>
            </w: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>
        <w:trPr>
          <w:trHeight w:val="368"/>
        </w:trPr>
        <w:tc>
          <w:tcPr>
            <w:tcW w:w="1915" w:type="dxa"/>
            <w:vMerge/>
          </w:tcPr>
          <w:p w:rsidR="0006060C" w:rsidRDefault="0006060C" w:rsidP="001E30B9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>
        <w:trPr>
          <w:trHeight w:val="350"/>
        </w:trPr>
        <w:tc>
          <w:tcPr>
            <w:tcW w:w="1915" w:type="dxa"/>
            <w:vMerge/>
          </w:tcPr>
          <w:p w:rsidR="0006060C" w:rsidRDefault="0006060C" w:rsidP="001E30B9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>
        <w:trPr>
          <w:trHeight w:val="350"/>
        </w:trPr>
        <w:tc>
          <w:tcPr>
            <w:tcW w:w="1915" w:type="dxa"/>
            <w:vMerge/>
          </w:tcPr>
          <w:p w:rsidR="0006060C" w:rsidRDefault="0006060C" w:rsidP="001E30B9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>
        <w:trPr>
          <w:trHeight w:val="440"/>
        </w:trPr>
        <w:tc>
          <w:tcPr>
            <w:tcW w:w="1915" w:type="dxa"/>
            <w:vMerge/>
          </w:tcPr>
          <w:p w:rsidR="0006060C" w:rsidRDefault="0006060C" w:rsidP="001E30B9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  <w:tr w:rsidR="0006060C">
        <w:trPr>
          <w:trHeight w:val="386"/>
        </w:trPr>
        <w:tc>
          <w:tcPr>
            <w:tcW w:w="1915" w:type="dxa"/>
            <w:vMerge/>
          </w:tcPr>
          <w:p w:rsidR="0006060C" w:rsidRDefault="0006060C" w:rsidP="001E30B9">
            <w:pPr>
              <w:rPr>
                <w:rStyle w:val="style28"/>
              </w:rPr>
            </w:pPr>
          </w:p>
        </w:tc>
        <w:tc>
          <w:tcPr>
            <w:tcW w:w="7661" w:type="dxa"/>
          </w:tcPr>
          <w:p w:rsidR="0006060C" w:rsidRDefault="0006060C" w:rsidP="001E30B9">
            <w:pPr>
              <w:rPr>
                <w:rStyle w:val="style28"/>
              </w:rPr>
            </w:pPr>
          </w:p>
        </w:tc>
      </w:tr>
    </w:tbl>
    <w:p w:rsidR="00027BDD" w:rsidRDefault="00100E1D" w:rsidP="0006060C"/>
    <w:sectPr w:rsidR="00027BDD" w:rsidSect="0006060C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060C"/>
    <w:rsid w:val="0006060C"/>
    <w:rsid w:val="00100E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56479"/>
    <w:rPr>
      <w:rFonts w:ascii="Lucida Grande" w:hAnsi="Lucida Grande"/>
      <w:sz w:val="18"/>
      <w:szCs w:val="18"/>
    </w:rPr>
  </w:style>
  <w:style w:type="character" w:customStyle="1" w:styleId="style28">
    <w:name w:val="style28"/>
    <w:basedOn w:val="DefaultParagraphFont"/>
    <w:rsid w:val="0006060C"/>
  </w:style>
  <w:style w:type="table" w:styleId="TableGrid">
    <w:name w:val="Table Grid"/>
    <w:basedOn w:val="TableNormal"/>
    <w:rsid w:val="000606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St. Ignatius College Prep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Molinelli</dc:creator>
  <cp:keywords/>
  <cp:lastModifiedBy>Paul Molinelli</cp:lastModifiedBy>
  <cp:revision>2</cp:revision>
  <dcterms:created xsi:type="dcterms:W3CDTF">2011-07-11T21:23:00Z</dcterms:created>
  <dcterms:modified xsi:type="dcterms:W3CDTF">2011-07-11T21:28:00Z</dcterms:modified>
</cp:coreProperties>
</file>